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374637"/>
          <w:sz w:val="44"/>
        </w:rPr>
        <w:t>Zavvion Events Commercial Lite MVP</w:t>
      </w:r>
    </w:p>
    <w:p>
      <w:pPr>
        <w:jc w:val="center"/>
      </w:pPr>
      <w:r>
        <w:rPr>
          <w:i/>
        </w:rPr>
        <w:t>Human Functional Testing Plan and Execution Guide</w:t>
      </w:r>
    </w:p>
    <w:p>
      <w:pPr>
        <w:jc w:val="center"/>
      </w:pPr>
      <w:r>
        <w:t>Generated 2026-05-26 | Commercial Lite MVP</w:t>
      </w:r>
    </w:p>
    <w:p>
      <w:pPr>
        <w:pStyle w:val="Heading1"/>
      </w:pPr>
      <w:r>
        <w:t>Purpose</w:t>
      </w:r>
    </w:p>
    <w:p>
      <w:r>
        <w:t>This document tells human testers exactly how to validate the Zavvion Events Commercial Lite MVP across public booking, customer accounts, organiser setup, platform organiser support, platform administration, payments, security boundaries, and responsive/device behaviour.</w:t>
      </w:r>
    </w:p>
    <w:p>
      <w:pPr>
        <w:pStyle w:val="Heading1"/>
      </w:pPr>
      <w:r>
        <w:t>Testing Rules</w:t>
      </w:r>
    </w:p>
    <w:p>
      <w:pPr>
        <w:pStyle w:val="ListBullet"/>
      </w:pPr>
      <w:r>
        <w:t>Run P0 tests before anything else. A failed P0 means no commercial launch until fixed and retested.</w:t>
      </w:r>
    </w:p>
    <w:p>
      <w:pPr>
        <w:pStyle w:val="ListBullet"/>
      </w:pPr>
      <w:r>
        <w:t>Record every test result in the workbook. Use Passed, Failed, Blocked, Not Run, or Retest Passed.</w:t>
      </w:r>
    </w:p>
    <w:p>
      <w:pPr>
        <w:pStyle w:val="ListBullet"/>
      </w:pPr>
      <w:r>
        <w:t>Every failed or blocked result needs a screenshot or screen recording and a clear reproduction path.</w:t>
      </w:r>
    </w:p>
    <w:p>
      <w:pPr>
        <w:pStyle w:val="ListBullet"/>
      </w:pPr>
      <w:r>
        <w:t>Do not use production secrets in the test log. Redact payment keys, tokens, cookies, and personal data.</w:t>
      </w:r>
    </w:p>
    <w:p>
      <w:pPr>
        <w:pStyle w:val="ListBullet"/>
      </w:pPr>
      <w:r>
        <w:t>Test on deployed staging, not only local XAMPP, before launch approval.</w:t>
      </w:r>
    </w:p>
    <w:p>
      <w:pPr>
        <w:pStyle w:val="Heading1"/>
      </w:pPr>
      <w:r>
        <w:t>Role Coverage</w:t>
      </w:r>
    </w:p>
    <w:tbl>
      <w:tblPr>
        <w:tblW w:type="auto" w:w="0"/>
        <w:jc w:val="center"/>
        <w:tblLook w:firstColumn="1" w:firstRow="1" w:lastColumn="0" w:lastRow="0" w:noHBand="0" w:noVBand="1" w:val="04A0"/>
      </w:tblPr>
      <w:tblGrid>
        <w:gridCol w:w="2520"/>
        <w:gridCol w:w="2520"/>
        <w:gridCol w:w="2520"/>
        <w:gridCol w:w="2520"/>
      </w:tblGrid>
      <w:tr>
        <w:tc>
          <w:tcPr>
            <w:tcW w:type="dxa" w:w="2520"/>
          </w:tcPr>
          <w:p>
            <w:r>
              <w:rPr>
                <w:b/>
              </w:rPr>
              <w:t>Role</w:t>
            </w:r>
          </w:p>
        </w:tc>
        <w:tc>
          <w:tcPr>
            <w:tcW w:type="dxa" w:w="2520"/>
          </w:tcPr>
          <w:p>
            <w:r>
              <w:rPr>
                <w:b/>
              </w:rPr>
              <w:t>Login identity</w:t>
            </w:r>
          </w:p>
        </w:tc>
        <w:tc>
          <w:tcPr>
            <w:tcW w:type="dxa" w:w="2520"/>
          </w:tcPr>
          <w:p>
            <w:r>
              <w:rPr>
                <w:b/>
              </w:rPr>
              <w:t>What to test</w:t>
            </w:r>
          </w:p>
        </w:tc>
        <w:tc>
          <w:tcPr>
            <w:tcW w:type="dxa" w:w="2520"/>
          </w:tcPr>
          <w:p>
            <w:r>
              <w:rPr>
                <w:b/>
              </w:rPr>
              <w:t>Must not happen</w:t>
            </w:r>
          </w:p>
        </w:tc>
      </w:tr>
      <w:tr>
        <w:tc>
          <w:tcPr>
            <w:tcW w:type="dxa" w:w="2520"/>
            <w:vAlign w:val="center"/>
          </w:tcPr>
          <w:p>
            <w:r>
              <w:t>Public visitor</w:t>
            </w:r>
          </w:p>
        </w:tc>
        <w:tc>
          <w:tcPr>
            <w:tcW w:type="dxa" w:w="2520"/>
            <w:vAlign w:val="center"/>
          </w:tcPr>
          <w:p>
            <w:r>
              <w:t>No login</w:t>
            </w:r>
          </w:p>
        </w:tc>
        <w:tc>
          <w:tcPr>
            <w:tcW w:type="dxa" w:w="2520"/>
            <w:vAlign w:val="center"/>
          </w:tcPr>
          <w:p>
            <w:r>
              <w:t>Browse events, event pages, booking flow until sign-in/payment gates.</w:t>
            </w:r>
          </w:p>
        </w:tc>
        <w:tc>
          <w:tcPr>
            <w:tcW w:type="dxa" w:w="2520"/>
            <w:vAlign w:val="center"/>
          </w:tcPr>
          <w:p>
            <w:r>
              <w:t>Must not access account, organiser, admin, draft, finance, or private APIs.</w:t>
            </w:r>
          </w:p>
        </w:tc>
      </w:tr>
      <w:tr>
        <w:tc>
          <w:tcPr>
            <w:tcW w:type="dxa" w:w="2520"/>
            <w:vAlign w:val="center"/>
          </w:tcPr>
          <w:p>
            <w:r>
              <w:t>Customer</w:t>
            </w:r>
          </w:p>
        </w:tc>
        <w:tc>
          <w:tcPr>
            <w:tcW w:type="dxa" w:w="2520"/>
            <w:vAlign w:val="center"/>
          </w:tcPr>
          <w:p>
            <w:r>
              <w:t>customer@zavvion.test</w:t>
            </w:r>
          </w:p>
        </w:tc>
        <w:tc>
          <w:tcPr>
            <w:tcW w:type="dxa" w:w="2520"/>
            <w:vAlign w:val="center"/>
          </w:tcPr>
          <w:p>
            <w:r>
              <w:t>Register/sign in, buy tickets, select seats, view orders/tickets/profile.</w:t>
            </w:r>
          </w:p>
        </w:tc>
        <w:tc>
          <w:tcPr>
            <w:tcW w:type="dxa" w:w="2520"/>
            <w:vAlign w:val="center"/>
          </w:tcPr>
          <w:p>
            <w:r>
              <w:t>Must not access organiser/admin/platform screens or another customer's orders.</w:t>
            </w:r>
          </w:p>
        </w:tc>
      </w:tr>
      <w:tr>
        <w:tc>
          <w:tcPr>
            <w:tcW w:type="dxa" w:w="2520"/>
            <w:vAlign w:val="center"/>
          </w:tcPr>
          <w:p>
            <w:r>
              <w:t>Organiser</w:t>
            </w:r>
          </w:p>
        </w:tc>
        <w:tc>
          <w:tcPr>
            <w:tcW w:type="dxa" w:w="2520"/>
            <w:vAlign w:val="center"/>
          </w:tcPr>
          <w:p>
            <w:r>
              <w:t>organiser@zavvion.test</w:t>
            </w:r>
          </w:p>
        </w:tc>
        <w:tc>
          <w:tcPr>
            <w:tcW w:type="dxa" w:w="2520"/>
            <w:vAlign w:val="center"/>
          </w:tcPr>
          <w:p>
            <w:r>
              <w:t>Create venues, seat maps, events, ticket allocations, media, Stripe readiness, finance view.</w:t>
            </w:r>
          </w:p>
        </w:tc>
        <w:tc>
          <w:tcPr>
            <w:tcW w:type="dxa" w:w="2520"/>
            <w:vAlign w:val="center"/>
          </w:tcPr>
          <w:p>
            <w:r>
              <w:t>Must only see its own organisation data; no platform admin controls.</w:t>
            </w:r>
          </w:p>
        </w:tc>
      </w:tr>
      <w:tr>
        <w:tc>
          <w:tcPr>
            <w:tcW w:type="dxa" w:w="2520"/>
            <w:vAlign w:val="center"/>
          </w:tcPr>
          <w:p>
            <w:r>
              <w:t>Platform organiser</w:t>
            </w:r>
          </w:p>
        </w:tc>
        <w:tc>
          <w:tcPr>
            <w:tcW w:type="dxa" w:w="2520"/>
            <w:vAlign w:val="center"/>
          </w:tcPr>
          <w:p>
            <w:r>
              <w:t>platform.organiser@zavvion.test</w:t>
            </w:r>
          </w:p>
        </w:tc>
        <w:tc>
          <w:tcPr>
            <w:tcW w:type="dxa" w:w="2520"/>
            <w:vAlign w:val="center"/>
          </w:tcPr>
          <w:p>
            <w:r>
              <w:t>Global organiser support account that can enter organiser contexts as permitted.</w:t>
            </w:r>
          </w:p>
        </w:tc>
        <w:tc>
          <w:tcPr>
            <w:tcW w:type="dxa" w:w="2520"/>
            <w:vAlign w:val="center"/>
          </w:tcPr>
          <w:p>
            <w:r>
              <w:t>Must not gain platform admin, fee rule, super admin, or unrelated customer access.</w:t>
            </w:r>
          </w:p>
        </w:tc>
      </w:tr>
      <w:tr>
        <w:tc>
          <w:tcPr>
            <w:tcW w:type="dxa" w:w="2520"/>
            <w:vAlign w:val="center"/>
          </w:tcPr>
          <w:p>
            <w:r>
              <w:t>Platform admin</w:t>
            </w:r>
          </w:p>
        </w:tc>
        <w:tc>
          <w:tcPr>
            <w:tcW w:type="dxa" w:w="2520"/>
            <w:vAlign w:val="center"/>
          </w:tcPr>
          <w:p>
            <w:r>
              <w:t>platform.admin@zavvion.test</w:t>
            </w:r>
          </w:p>
        </w:tc>
        <w:tc>
          <w:tcPr>
            <w:tcW w:type="dxa" w:w="2520"/>
            <w:vAlign w:val="center"/>
          </w:tcPr>
          <w:p>
            <w:r>
              <w:t>Approve organisers, manage platform fee rules, monitor readiness and system health.</w:t>
            </w:r>
          </w:p>
        </w:tc>
        <w:tc>
          <w:tcPr>
            <w:tcW w:type="dxa" w:w="2520"/>
            <w:vAlign w:val="center"/>
          </w:tcPr>
          <w:p>
            <w:r>
              <w:t>Must not bypass Stripe-synced production readiness, expose secrets, or edit platform_super_admin unsafely.</w:t>
            </w:r>
          </w:p>
        </w:tc>
      </w:tr>
    </w:tbl>
    <w:p>
      <w:pPr>
        <w:pStyle w:val="Heading1"/>
      </w:pPr>
      <w:r>
        <w:t>Critical Workflows</w:t>
      </w:r>
    </w:p>
    <w:tbl>
      <w:tblPr>
        <w:tblW w:type="auto" w:w="0"/>
        <w:jc w:val="center"/>
        <w:tblLook w:firstColumn="1" w:firstRow="1" w:lastColumn="0" w:lastRow="0" w:noHBand="0" w:noVBand="1" w:val="04A0"/>
      </w:tblPr>
      <w:tblGrid>
        <w:gridCol w:w="5040"/>
        <w:gridCol w:w="5040"/>
      </w:tblGrid>
      <w:tr>
        <w:tc>
          <w:tcPr>
            <w:tcW w:type="dxa" w:w="5040"/>
          </w:tcPr>
          <w:p>
            <w:r>
              <w:rPr>
                <w:b/>
              </w:rPr>
              <w:t>Workflow</w:t>
            </w:r>
          </w:p>
        </w:tc>
        <w:tc>
          <w:tcPr>
            <w:tcW w:type="dxa" w:w="5040"/>
          </w:tcPr>
          <w:p>
            <w:r>
              <w:rPr>
                <w:b/>
              </w:rPr>
              <w:t>Expected evidence</w:t>
            </w:r>
          </w:p>
        </w:tc>
      </w:tr>
      <w:tr>
        <w:tc>
          <w:tcPr>
            <w:tcW w:type="dxa" w:w="5040"/>
          </w:tcPr>
          <w:p>
            <w:r>
              <w:t>Organiser launch</w:t>
            </w:r>
          </w:p>
        </w:tc>
        <w:tc>
          <w:tcPr>
            <w:tcW w:type="dxa" w:w="5040"/>
          </w:tcPr>
          <w:p>
            <w:r>
              <w:t>Venue -&gt; seat map -&gt; sections -&gt; PDF/image per seat map -&gt; event -&gt; exact seat map -&gt; event-level ticket pricing -&gt; publish.</w:t>
            </w:r>
          </w:p>
        </w:tc>
      </w:tr>
      <w:tr>
        <w:tc>
          <w:tcPr>
            <w:tcW w:type="dxa" w:w="5040"/>
          </w:tcPr>
          <w:p>
            <w:r>
              <w:t>Public booking</w:t>
            </w:r>
          </w:p>
        </w:tc>
        <w:tc>
          <w:tcPr>
            <w:tcW w:type="dxa" w:w="5040"/>
          </w:tcPr>
          <w:p>
            <w:r>
              <w:t>Discover -&gt; event detail -&gt; Booking tab -&gt; reserved/non-reserved selection -&gt; checkout -&gt; signed webhook -&gt; ticket/QR.</w:t>
            </w:r>
          </w:p>
        </w:tc>
      </w:tr>
      <w:tr>
        <w:tc>
          <w:tcPr>
            <w:tcW w:type="dxa" w:w="5040"/>
          </w:tcPr>
          <w:p>
            <w:r>
              <w:t>Admin governance</w:t>
            </w:r>
          </w:p>
        </w:tc>
        <w:tc>
          <w:tcPr>
            <w:tcW w:type="dxa" w:w="5040"/>
          </w:tcPr>
          <w:p>
            <w:r>
              <w:t>Organiser applications -&gt; fee rules -&gt; conflict checks -&gt; readiness/security oversight.</w:t>
            </w:r>
          </w:p>
        </w:tc>
      </w:tr>
      <w:tr>
        <w:tc>
          <w:tcPr>
            <w:tcW w:type="dxa" w:w="5040"/>
          </w:tcPr>
          <w:p>
            <w:r>
              <w:t>Security challenge</w:t>
            </w:r>
          </w:p>
        </w:tc>
        <w:tc>
          <w:tcPr>
            <w:tcW w:type="dxa" w:w="5040"/>
          </w:tcPr>
          <w:p>
            <w:r>
              <w:t>Role boundaries, IDOR, CSRF, XSS, upload safety, unsigned webhook, fake redirect, private data exposure.</w:t>
            </w:r>
          </w:p>
        </w:tc>
      </w:tr>
    </w:tbl>
    <w:p>
      <w:pPr>
        <w:pStyle w:val="Heading1"/>
      </w:pPr>
      <w:r>
        <w:t>Exit Criteria</w:t>
      </w:r>
    </w:p>
    <w:p>
      <w:pPr>
        <w:pStyle w:val="ListBullet"/>
      </w:pPr>
      <w:r>
        <w:t>All P0 tests pass on the deployed server.</w:t>
      </w:r>
    </w:p>
    <w:p>
      <w:pPr>
        <w:pStyle w:val="ListBullet"/>
      </w:pPr>
      <w:r>
        <w:t>Stripe test checkout through signed webhook proves order, ticket, QR, and ledger creation.</w:t>
      </w:r>
    </w:p>
    <w:p>
      <w:pPr>
        <w:pStyle w:val="ListBullet"/>
      </w:pPr>
      <w:r>
        <w:t>No Critical or unresolved High issue remains.</w:t>
      </w:r>
    </w:p>
    <w:p>
      <w:pPr>
        <w:pStyle w:val="ListBullet"/>
      </w:pPr>
      <w:r>
        <w:t>Mobile/tablet tests are completed on real devices or accepted emulation plus at least one real phone check.</w:t>
      </w:r>
    </w:p>
    <w:p>
      <w:pPr>
        <w:pStyle w:val="ListBullet"/>
      </w:pPr>
      <w:r>
        <w:t>The final execution summary is completed and signed by product, engineering, and QA owner.</w:t>
      </w:r>
    </w:p>
    <w:p>
      <w:pPr>
        <w:pStyle w:val="Heading1"/>
      </w:pPr>
      <w:r>
        <w:t>Detailed Logs</w:t>
      </w:r>
    </w:p>
    <w:p>
      <w:r>
        <w:t>Use the accompanying Excel workbook for the full scenario matrix, credentials template, issue log, responsive matrix, and daily sign-off sheets. Use the HTML site map to orient testers before execution.</w:t>
      </w:r>
    </w:p>
    <w:sectPr w:rsidR="00FC693F" w:rsidRPr="0006063C" w:rsidSect="0003461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7365D" w:themeColor="text2" w:themeShade="BF"/>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